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  <w:t>政府与社会资本合作(PPP)模式建设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  <w:t>物有所值及财政承受能力评价报告</w:t>
      </w:r>
      <w:bookmarkStart w:id="0" w:name="_GoBack"/>
      <w:bookmarkEnd w:id="0"/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color w:val="000000"/>
          <w:sz w:val="84"/>
          <w:szCs w:val="84"/>
          <w:lang w:val="en-US" w:eastAsia="zh-CN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pStyle w:val="4"/>
        <w:tabs>
          <w:tab w:val="right" w:leader="dot" w:pos="8306"/>
        </w:tabs>
        <w:spacing w:line="420" w:lineRule="exact"/>
        <w:ind w:left="0" w:leftChars="0"/>
        <w:jc w:val="center"/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目  录</w:t>
      </w:r>
    </w:p>
    <w:p>
      <w:pPr>
        <w:pStyle w:val="4"/>
        <w:tabs>
          <w:tab w:val="right" w:leader="dot" w:pos="8306"/>
        </w:tabs>
        <w:spacing w:line="420" w:lineRule="exact"/>
        <w:rPr>
          <w:rFonts w:hint="eastAsia" w:ascii="宋体" w:hAnsi="宋体" w:cs="宋体"/>
          <w:snapToGrid w:val="0"/>
          <w:kern w:val="0"/>
          <w:sz w:val="28"/>
          <w:szCs w:val="28"/>
        </w:rPr>
      </w:pP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instrText xml:space="preserve">TOC \o "1-3" \h \u </w:instrTex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instrText xml:space="preserve"> HYPERLINK \l _Toc4369 </w:instrTex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sz w:val="24"/>
          <w:szCs w:val="24"/>
        </w:rPr>
        <w:t>一、项目基础信息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PAGEREF _Toc4369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_Toc22771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  项目概况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_Toc22771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_Toc29939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1.1.1项目位置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_Toc29939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_Toc23406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1.1.2建设意义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_Toc23406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_Toc30775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1.1.3建设进程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_Toc30775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_Toc29210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1.1.4项目工程方案与建设规模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_Toc29210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_Toc4329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1.1.5投资估算及资金筹措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_Toc4329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_Toc22405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1.2项目产出说明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_Toc22405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_Toc325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1.2.1项目需求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_Toc325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_Toc5950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1.2.2项目作用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_Toc5950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_Toc14295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1.2.3工艺选择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_Toc14295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_Toc6641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1.2.4技术标准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_Toc6641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_Toc9639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1.2.5主要技术经济指标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_Toc9639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_Toc13158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1.3  项目运作模式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_Toc13158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_Toc25268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1.3.1运作方式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_Toc25268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_Toc18836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1.3.2回报机制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_Toc18836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_Toc31561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1.3.3全生命周期成本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_Toc31561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_Toc9503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1.3.4调价机制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_Toc9503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_Toc21741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1.4  风险分配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_Toc21741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_Toc16127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1.4.1</w:t>
      </w:r>
      <w:r>
        <w:rPr>
          <w:rFonts w:hint="eastAsia" w:ascii="宋体" w:hAnsi="宋体" w:eastAsia="宋体" w:cs="宋体"/>
          <w:bCs/>
          <w:vanish/>
          <w:sz w:val="24"/>
          <w:szCs w:val="24"/>
        </w:rPr>
        <w:t>1.4.11.4.1</w:t>
      </w:r>
      <w:r>
        <w:rPr>
          <w:rFonts w:hint="eastAsia" w:ascii="宋体" w:hAnsi="宋体" w:eastAsia="宋体" w:cs="宋体"/>
          <w:bCs/>
          <w:sz w:val="24"/>
          <w:szCs w:val="24"/>
        </w:rPr>
        <w:t>项目风险因素识别与分析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_Toc16127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_Toc20489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1.4.2风险分配原则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_Toc20489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_Toc15391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1.4.3风险分配基本框架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_Toc15391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_Toc13168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二、物有所值定性分析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_Toc13168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_Toc3893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2.1 政策依据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_Toc3893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_Toc6508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2.2分析内容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_Toc6508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_Toc14887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2.2.1增加公共供给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_Toc14887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_Toc4611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2.2.2优化风险分配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_Toc4611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_Toc13233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2.2.3提高效率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_Toc13233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_Toc3215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2.2.4促进创新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_Toc3215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_Toc23342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2.2.5政府PPP能力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_Toc23342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_Toc27355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2.2.6政府采购政策落实潜力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_Toc27355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_Toc29611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2.2.7融资可行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_Toc29611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_Toc29281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2.3分析方法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_Toc29281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_Toc10427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2.4分析意见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_Toc10427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_Toc13418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三、物有所值定量分析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_Toc13418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_Toc29336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3.1定量分析步骤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_Toc29336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_Toc3088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.2 PSC值计算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_Toc3088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napToGrid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_Toc7315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3.2.1设定参照项目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_Toc7315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_Toc2424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3.2.3计算初始PSC值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_Toc2424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_Toc2032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3.2.4竞争性中立调整值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_Toc2032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_Toc7105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3.2.6折现率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_Toc7105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_Toc22164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.3 PPPs值计算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_Toc22164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napToGrid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_Toc6005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.4 计算结果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_Toc6005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napToGrid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_Toc17459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.5 物有所值评价结论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_Toc17459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napToGrid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_Toc25988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四、财政承受能力论证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_Toc25988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_Toc27105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本项目PPP的实施机构为安阳市住房和城乡建设局，2015年5月24日作为安阳市PPP项目正式对外发布推介；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_Toc27105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_Toc18190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4.1责任识别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_Toc18190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_Toc18222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4.1.1股权投资支出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_Toc18222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_Toc15495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4.1.2政府承担运营补贴支出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_Toc15495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_Toc1343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4.1.3风险承担支出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_Toc1343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_Toc21246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4.1.4配套投入支出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_Toc21246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_Toc19323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4.2支出测算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_Toc19323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_Toc28810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4.2.1股权投资支出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_Toc28810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_Toc31423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4.2.2风险承担支出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_Toc31423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2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_Toc16679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4.2.3测算结果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_Toc16679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_Toc2887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4.3财政支出基数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_Toc2887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_Toc12178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4.4补贴支出比例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_Toc12178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_Toc27294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4.5行业和领域均衡性分析评估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_Toc27294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_Toc29153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4.6论证结论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_Toc29153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_Toc25175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附件一：项目运营成本测算分析表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_Toc25175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_Toc12258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附件二：项目PSC值测算分析表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_Toc12258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_Toc5481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附件三：项目PPPs值测算分析表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_Toc5481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_Toc14738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附件四：项目财政支付能力测算表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_Toc14738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_Toc20813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附件五：运营补贴支出测算分析表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_Toc20813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_Toc13863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附件六：项目财务现金流量分析表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_Toc13863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_Toc6500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附件七：项目经营利润测算分析表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_Toc6500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_Toc14463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附件八：项目分析主要参数取值依据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_Toc14463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_Toc17960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附件九：项目财务分析方案筛选说明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_Toc17960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_Toc19443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附件十：项目运营成本测算分析说明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_Toc19443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instrText xml:space="preserve"> HYPERLINK \l _Toc7981 </w:instrTex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附件十一：物有所值定性分析专家意见表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_Toc7981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 w:ascii="宋体" w:hAnsi="宋体" w:cs="宋体"/>
          <w:snapToGrid w:val="0"/>
          <w:kern w:val="0"/>
          <w:szCs w:val="28"/>
        </w:rPr>
        <w:fldChar w:fldCharType="begin"/>
      </w:r>
      <w:r>
        <w:rPr>
          <w:rFonts w:hint="eastAsia" w:ascii="宋体" w:hAnsi="宋体" w:cs="宋体"/>
          <w:snapToGrid w:val="0"/>
          <w:kern w:val="0"/>
          <w:szCs w:val="28"/>
        </w:rPr>
        <w:instrText xml:space="preserve"> HYPERLINK \l _Toc25825 </w:instrText>
      </w:r>
      <w:r>
        <w:rPr>
          <w:rFonts w:hint="eastAsia" w:ascii="宋体" w:hAnsi="宋体" w:cs="宋体"/>
          <w:snapToGrid w:val="0"/>
          <w:kern w:val="0"/>
          <w:szCs w:val="28"/>
        </w:rPr>
        <w:fldChar w:fldCharType="separate"/>
      </w:r>
      <w:r>
        <w:rPr>
          <w:rFonts w:hint="eastAsia" w:ascii="宋体" w:hAnsi="宋体" w:cs="宋体"/>
          <w:szCs w:val="32"/>
        </w:rPr>
        <w:t>附件十二：项目咨询机构基本信息证照</w:t>
      </w:r>
      <w:r>
        <w:tab/>
      </w:r>
      <w:r>
        <w:fldChar w:fldCharType="begin"/>
      </w:r>
      <w:r>
        <w:instrText xml:space="preserve"> PAGEREF _Toc25825 </w:instrText>
      </w:r>
      <w:r>
        <w:fldChar w:fldCharType="separate"/>
      </w:r>
      <w:r>
        <w:t>31</w:t>
      </w:r>
      <w:r>
        <w:fldChar w:fldCharType="end"/>
      </w:r>
      <w:r>
        <w:rPr>
          <w:rFonts w:hint="eastAsia" w:ascii="宋体" w:hAnsi="宋体" w:cs="宋体"/>
          <w:snapToGrid w:val="0"/>
          <w:kern w:val="0"/>
          <w:szCs w:val="28"/>
        </w:rPr>
        <w:fldChar w:fldCharType="end"/>
      </w:r>
    </w:p>
    <w:p>
      <w:pPr/>
      <w:r>
        <w:rPr>
          <w:rFonts w:hint="eastAsia" w:ascii="宋体" w:hAnsi="宋体" w:cs="宋体"/>
          <w:snapToGrid w:val="0"/>
          <w:kern w:val="0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utch801 Rm BT">
    <w:panose1 w:val="02020603060505020304"/>
    <w:charset w:val="00"/>
    <w:family w:val="swiss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59BB"/>
    <w:rsid w:val="14C30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toc 1"/>
    <w:basedOn w:val="1"/>
    <w:next w:val="1"/>
    <w:qFormat/>
    <w:uiPriority w:val="0"/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7">
    <w:name w:val="报告正文"/>
    <w:basedOn w:val="1"/>
    <w:qFormat/>
    <w:uiPriority w:val="0"/>
    <w:pPr>
      <w:spacing w:line="360" w:lineRule="auto"/>
      <w:ind w:firstLine="480" w:firstLineChars="200"/>
      <w:jc w:val="left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2016-03-01T09:47:00Z</dcterms:created>
  <dc:creator>Administrator</dc:creator>
  <cp:lastModifiedBy>Administrator</cp:lastModifiedBy>
  <dcterms:modified xsi:type="dcterms:W3CDTF">2016-03-02T02:47:13Z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